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BC31CA" w14:textId="7AF4D4F2" w:rsidR="00EE5F0E" w:rsidRPr="00E31982" w:rsidRDefault="00EE5F0E" w:rsidP="00EE5F0E">
      <w:pPr>
        <w:rPr>
          <w:rFonts w:ascii="Lato" w:hAnsi="Lato"/>
        </w:rPr>
      </w:pPr>
      <w:bookmarkStart w:id="0" w:name="_Hlk44410641"/>
    </w:p>
    <w:tbl>
      <w:tblPr>
        <w:tblpPr w:leftFromText="180" w:rightFromText="180" w:vertAnchor="text"/>
        <w:tblW w:w="936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EE5F0E" w:rsidRPr="00E31982" w14:paraId="2BC73C69" w14:textId="77777777" w:rsidTr="001558C7"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EE5F0E" w:rsidRPr="00E31982" w14:paraId="0CFFD969" w14:textId="77777777"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913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60"/>
                  </w:tblGrid>
                  <w:tr w:rsidR="00EE5F0E" w:rsidRPr="00E31982" w14:paraId="6BFF8C4F" w14:textId="77777777">
                    <w:trPr>
                      <w:trHeight w:val="1780"/>
                    </w:trPr>
                    <w:tc>
                      <w:tcPr>
                        <w:tcW w:w="0" w:type="auto"/>
                        <w:hideMark/>
                      </w:tcPr>
                      <w:p w14:paraId="4ECEBB98" w14:textId="29F88B09" w:rsidR="00EE5F0E" w:rsidRPr="00E31982" w:rsidRDefault="0027111A">
                        <w:pPr>
                          <w:framePr w:hSpace="180" w:wrap="around" w:vAnchor="text" w:hAnchor="text"/>
                          <w:jc w:val="center"/>
                          <w:rPr>
                            <w:rFonts w:ascii="Lato" w:hAnsi="Lato"/>
                          </w:rPr>
                        </w:pPr>
                        <w:r w:rsidRPr="00E31982">
                          <w:rPr>
                            <w:rFonts w:ascii="Lato" w:hAnsi="Lato"/>
                            <w:noProof/>
                            <w:lang w:val="pl-PL" w:eastAsia="pl-PL"/>
                          </w:rPr>
                          <w:drawing>
                            <wp:inline distT="0" distB="0" distL="0" distR="0" wp14:anchorId="3EFAAAC4" wp14:editId="71C6B49C">
                              <wp:extent cx="5951220" cy="1163955"/>
                              <wp:effectExtent l="0" t="0" r="0" b="0"/>
                              <wp:docPr id="2" name="Obraz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naglowki - 11-01.jpg"/>
                                      <pic:cNvPicPr/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953168" cy="116433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14:paraId="45B6B30D" w14:textId="77777777" w:rsidR="00EE5F0E" w:rsidRPr="00E31982" w:rsidRDefault="00EE5F0E">
                  <w:pPr>
                    <w:rPr>
                      <w:rFonts w:ascii="Lato" w:eastAsia="Times New Roman" w:hAnsi="Lato"/>
                    </w:rPr>
                  </w:pPr>
                </w:p>
              </w:tc>
            </w:tr>
          </w:tbl>
          <w:p w14:paraId="4E4442E5" w14:textId="77777777" w:rsidR="00EE5F0E" w:rsidRPr="00E31982" w:rsidRDefault="00EE5F0E">
            <w:pPr>
              <w:rPr>
                <w:rFonts w:ascii="Lato" w:eastAsia="Times New Roman" w:hAnsi="Lato"/>
              </w:rPr>
            </w:pPr>
          </w:p>
        </w:tc>
      </w:tr>
      <w:tr w:rsidR="00EE5F0E" w:rsidRPr="00E31982" w14:paraId="6A50960A" w14:textId="77777777" w:rsidTr="001558C7">
        <w:trPr>
          <w:trHeight w:val="450"/>
        </w:trPr>
        <w:tc>
          <w:tcPr>
            <w:tcW w:w="0" w:type="auto"/>
            <w:shd w:val="clear" w:color="auto" w:fill="F2F2F2"/>
            <w:hideMark/>
          </w:tcPr>
          <w:p w14:paraId="15654D3B" w14:textId="77777777" w:rsidR="00EE5F0E" w:rsidRPr="00E31982" w:rsidRDefault="00EE5F0E">
            <w:pPr>
              <w:rPr>
                <w:rFonts w:ascii="Lato" w:hAnsi="Lato" w:cs="Arial"/>
              </w:rPr>
            </w:pPr>
            <w:r w:rsidRPr="00E31982">
              <w:rPr>
                <w:rFonts w:ascii="Lato" w:hAnsi="Lato" w:cs="Arial"/>
              </w:rPr>
              <w:t> </w:t>
            </w:r>
          </w:p>
        </w:tc>
      </w:tr>
      <w:tr w:rsidR="00EE5F0E" w:rsidRPr="00E31982" w14:paraId="4AEB3433" w14:textId="77777777" w:rsidTr="001558C7">
        <w:tc>
          <w:tcPr>
            <w:tcW w:w="0" w:type="auto"/>
            <w:shd w:val="clear" w:color="auto" w:fill="F2F2F2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EE5F0E" w:rsidRPr="00E31982" w14:paraId="620E3BC5" w14:textId="77777777">
              <w:tc>
                <w:tcPr>
                  <w:tcW w:w="0" w:type="auto"/>
                  <w:hideMark/>
                </w:tcPr>
                <w:tbl>
                  <w:tblPr>
                    <w:tblW w:w="9028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2"/>
                    <w:gridCol w:w="320"/>
                    <w:gridCol w:w="6"/>
                  </w:tblGrid>
                  <w:tr w:rsidR="00EE5F0E" w:rsidRPr="00E31982" w14:paraId="6314B328" w14:textId="77777777">
                    <w:tc>
                      <w:tcPr>
                        <w:tcW w:w="8702" w:type="dxa"/>
                        <w:tcMar>
                          <w:top w:w="0" w:type="dxa"/>
                          <w:left w:w="450" w:type="dxa"/>
                          <w:bottom w:w="0" w:type="dxa"/>
                          <w:right w:w="225" w:type="dxa"/>
                        </w:tcMar>
                      </w:tcPr>
                      <w:p w14:paraId="13E2A3AE" w14:textId="44B5E0A5" w:rsidR="00706DC7" w:rsidRPr="00E31982" w:rsidRDefault="00007178" w:rsidP="00706DC7">
                        <w:pPr>
                          <w:framePr w:hSpace="180" w:wrap="around" w:vAnchor="text" w:hAnchor="text"/>
                          <w:rPr>
                            <w:rStyle w:val="Pogrubienie"/>
                            <w:rFonts w:ascii="Lato" w:hAnsi="Lato" w:cs="Arial"/>
                            <w:color w:val="191919"/>
                            <w:sz w:val="20"/>
                            <w:szCs w:val="20"/>
                          </w:rPr>
                        </w:pPr>
                        <w:r w:rsidRPr="00E31982">
                          <w:rPr>
                            <w:rStyle w:val="Pogrubienie"/>
                            <w:rFonts w:ascii="Lato" w:hAnsi="Lato" w:cs="Arial"/>
                            <w:color w:val="191919"/>
                            <w:sz w:val="20"/>
                            <w:szCs w:val="20"/>
                          </w:rPr>
                          <w:t>Do</w:t>
                        </w:r>
                        <w:r w:rsidR="00EE5F0E" w:rsidRPr="00E31982">
                          <w:rPr>
                            <w:rStyle w:val="Pogrubienie"/>
                            <w:rFonts w:ascii="Lato" w:hAnsi="Lato" w:cs="Arial"/>
                            <w:color w:val="191919"/>
                            <w:sz w:val="20"/>
                            <w:szCs w:val="20"/>
                          </w:rPr>
                          <w:t>:</w:t>
                        </w:r>
                        <w:r w:rsidR="00450444" w:rsidRPr="00E31982">
                          <w:rPr>
                            <w:rStyle w:val="Pogrubienie"/>
                            <w:rFonts w:ascii="Lato" w:hAnsi="Lato" w:cs="Arial"/>
                            <w:color w:val="191919"/>
                            <w:sz w:val="20"/>
                            <w:szCs w:val="20"/>
                          </w:rPr>
                          <w:t xml:space="preserve"> </w:t>
                        </w:r>
                        <w:r w:rsidR="004328CF" w:rsidRPr="00E31982">
                          <w:rPr>
                            <w:rStyle w:val="Pogrubienie"/>
                            <w:rFonts w:ascii="Lato" w:hAnsi="Lato" w:cs="Arial"/>
                            <w:color w:val="191919"/>
                            <w:sz w:val="20"/>
                            <w:szCs w:val="20"/>
                          </w:rPr>
                          <w:t>Zespół DaVita International</w:t>
                        </w:r>
                      </w:p>
                      <w:p w14:paraId="13FCA839" w14:textId="157B9B74" w:rsidR="00EE5F0E" w:rsidRPr="00E31982" w:rsidRDefault="00007178" w:rsidP="00706DC7">
                        <w:pPr>
                          <w:framePr w:hSpace="180" w:wrap="around" w:vAnchor="text" w:hAnchor="text"/>
                          <w:rPr>
                            <w:rStyle w:val="Pogrubienie"/>
                            <w:rFonts w:ascii="Lato" w:hAnsi="Lato" w:cs="Arial"/>
                            <w:b w:val="0"/>
                            <w:bCs w:val="0"/>
                            <w:color w:val="191919"/>
                          </w:rPr>
                        </w:pPr>
                        <w:r w:rsidRPr="00E31982">
                          <w:rPr>
                            <w:rStyle w:val="Pogrubienie"/>
                            <w:rFonts w:ascii="Lato" w:hAnsi="Lato" w:cs="Arial"/>
                            <w:sz w:val="20"/>
                            <w:szCs w:val="20"/>
                          </w:rPr>
                          <w:t>Od</w:t>
                        </w:r>
                        <w:r w:rsidR="00EE5F0E" w:rsidRPr="00E31982">
                          <w:rPr>
                            <w:rStyle w:val="Pogrubienie"/>
                            <w:rFonts w:ascii="Lato" w:hAnsi="Lato" w:cs="Arial"/>
                            <w:sz w:val="20"/>
                            <w:szCs w:val="20"/>
                          </w:rPr>
                          <w:t>: </w:t>
                        </w:r>
                        <w:r w:rsidR="004328CF" w:rsidRPr="00E31982">
                          <w:rPr>
                            <w:rStyle w:val="Pogrubienie"/>
                            <w:rFonts w:ascii="Lato" w:hAnsi="Lato" w:cs="Arial"/>
                            <w:sz w:val="20"/>
                            <w:szCs w:val="20"/>
                          </w:rPr>
                          <w:t xml:space="preserve">Robert Lang, </w:t>
                        </w:r>
                        <w:proofErr w:type="spellStart"/>
                        <w:r w:rsidR="004328CF" w:rsidRPr="00E31982">
                          <w:rPr>
                            <w:rStyle w:val="Pogrubienie"/>
                            <w:rFonts w:ascii="Lato" w:hAnsi="Lato" w:cs="Arial"/>
                            <w:sz w:val="20"/>
                            <w:szCs w:val="20"/>
                          </w:rPr>
                          <w:t>Prezes</w:t>
                        </w:r>
                        <w:proofErr w:type="spellEnd"/>
                        <w:r w:rsidR="004328CF" w:rsidRPr="00E31982">
                          <w:rPr>
                            <w:rStyle w:val="Pogrubienie"/>
                            <w:rFonts w:ascii="Lato" w:hAnsi="Lato" w:cs="Arial"/>
                            <w:sz w:val="20"/>
                            <w:szCs w:val="20"/>
                          </w:rPr>
                          <w:t xml:space="preserve"> International</w:t>
                        </w:r>
                      </w:p>
                    </w:tc>
                    <w:tc>
                      <w:tcPr>
                        <w:tcW w:w="320" w:type="dxa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p w14:paraId="5ECE565E" w14:textId="77777777" w:rsidR="00EE5F0E" w:rsidRPr="00E31982" w:rsidRDefault="00EE5F0E">
                        <w:pPr>
                          <w:framePr w:hSpace="180" w:wrap="around" w:vAnchor="text" w:hAnchor="text"/>
                          <w:rPr>
                            <w:rStyle w:val="Pogrubienie"/>
                            <w:rFonts w:ascii="Lato" w:hAnsi="Lato" w:cs="Arial"/>
                            <w:b w:val="0"/>
                            <w:bCs w:val="0"/>
                            <w:color w:val="191919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14:paraId="2CD42ED0" w14:textId="77777777" w:rsidR="00EE5F0E" w:rsidRPr="00E31982" w:rsidRDefault="00EE5F0E">
                        <w:pPr>
                          <w:framePr w:hSpace="180" w:wrap="around" w:vAnchor="text" w:hAnchor="text"/>
                          <w:rPr>
                            <w:rFonts w:ascii="Lato" w:eastAsia="Times New Roman" w:hAnsi="Lato"/>
                          </w:rPr>
                        </w:pPr>
                      </w:p>
                    </w:tc>
                  </w:tr>
                </w:tbl>
                <w:p w14:paraId="2C29FE51" w14:textId="77777777" w:rsidR="00EE5F0E" w:rsidRPr="00E31982" w:rsidRDefault="00EE5F0E">
                  <w:pPr>
                    <w:framePr w:hSpace="180" w:wrap="around" w:vAnchor="text" w:hAnchor="text"/>
                    <w:rPr>
                      <w:rFonts w:ascii="Lato" w:eastAsia="Times New Roman" w:hAnsi="Lato"/>
                    </w:rPr>
                  </w:pPr>
                </w:p>
              </w:tc>
            </w:tr>
          </w:tbl>
          <w:p w14:paraId="5717E64E" w14:textId="77777777" w:rsidR="00EE5F0E" w:rsidRPr="00E31982" w:rsidRDefault="00EE5F0E">
            <w:pPr>
              <w:rPr>
                <w:rFonts w:ascii="Lato" w:eastAsia="Times New Roman" w:hAnsi="Lato"/>
              </w:rPr>
            </w:pPr>
          </w:p>
        </w:tc>
      </w:tr>
      <w:tr w:rsidR="00EE5F0E" w:rsidRPr="00E31982" w14:paraId="3EB57450" w14:textId="77777777" w:rsidTr="001558C7">
        <w:trPr>
          <w:trHeight w:val="225"/>
        </w:trPr>
        <w:tc>
          <w:tcPr>
            <w:tcW w:w="0" w:type="auto"/>
            <w:shd w:val="clear" w:color="auto" w:fill="F2F2F2"/>
            <w:hideMark/>
          </w:tcPr>
          <w:p w14:paraId="3C3E57A7" w14:textId="77777777" w:rsidR="00EE5F0E" w:rsidRPr="00E31982" w:rsidRDefault="00EE5F0E">
            <w:pPr>
              <w:rPr>
                <w:rFonts w:ascii="Lato" w:eastAsia="Times New Roman" w:hAnsi="Lato"/>
              </w:rPr>
            </w:pPr>
          </w:p>
        </w:tc>
      </w:tr>
      <w:tr w:rsidR="00EE5F0E" w:rsidRPr="004078AE" w14:paraId="47F01EEE" w14:textId="77777777" w:rsidTr="001558C7">
        <w:tc>
          <w:tcPr>
            <w:tcW w:w="0" w:type="auto"/>
            <w:shd w:val="clear" w:color="auto" w:fill="F2F2F2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EE5F0E" w:rsidRPr="00E31982" w14:paraId="0C4E716D" w14:textId="77777777">
              <w:tc>
                <w:tcPr>
                  <w:tcW w:w="0" w:type="auto"/>
                  <w:hideMark/>
                </w:tcPr>
                <w:tbl>
                  <w:tblPr>
                    <w:tblW w:w="936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60"/>
                  </w:tblGrid>
                  <w:tr w:rsidR="004328CF" w:rsidRPr="00E31982" w14:paraId="4132D475" w14:textId="77777777" w:rsidTr="004328CF">
                    <w:trPr>
                      <w:trHeight w:val="225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360"/>
                        </w:tblGrid>
                        <w:tr w:rsidR="004328CF" w:rsidRPr="00E31982" w14:paraId="5C7582AE" w14:textId="77777777" w:rsidTr="008E51D4">
                          <w:tc>
                            <w:tcPr>
                              <w:tcW w:w="0" w:type="auto"/>
                            </w:tcPr>
                            <w:p w14:paraId="0969D06A" w14:textId="77777777" w:rsidR="004078AE" w:rsidRPr="004078AE" w:rsidRDefault="004078AE" w:rsidP="004078AE">
                              <w:pPr>
                                <w:framePr w:hSpace="180" w:wrap="around" w:vAnchor="text" w:hAnchor="text"/>
                                <w:spacing w:line="252" w:lineRule="auto"/>
                                <w:jc w:val="center"/>
                                <w:rPr>
                                  <w:rFonts w:ascii="Lato" w:hAnsi="Lato" w:cs="Arial"/>
                                  <w:b/>
                                  <w:bCs/>
                                  <w:lang w:val="pl-PL"/>
                                </w:rPr>
                              </w:pPr>
                              <w:r w:rsidRPr="004078AE">
                                <w:rPr>
                                  <w:rFonts w:ascii="Lato" w:hAnsi="Lato" w:cs="Arial"/>
                                  <w:b/>
                                  <w:bCs/>
                                  <w:lang w:val="pl-PL"/>
                                </w:rPr>
                                <w:t xml:space="preserve">DaVita przejmuje </w:t>
                              </w:r>
                              <w:proofErr w:type="spellStart"/>
                              <w:r w:rsidRPr="004078AE">
                                <w:rPr>
                                  <w:rFonts w:ascii="Lato" w:hAnsi="Lato" w:cs="Arial"/>
                                  <w:b/>
                                  <w:bCs/>
                                  <w:lang w:val="pl-PL"/>
                                </w:rPr>
                                <w:t>Renal</w:t>
                              </w:r>
                              <w:proofErr w:type="spellEnd"/>
                              <w:r w:rsidRPr="004078AE">
                                <w:rPr>
                                  <w:rFonts w:ascii="Lato" w:hAnsi="Lato" w:cs="Arial"/>
                                  <w:b/>
                                  <w:bCs/>
                                  <w:lang w:val="pl-PL"/>
                                </w:rPr>
                                <w:t xml:space="preserve"> Services</w:t>
                              </w:r>
                            </w:p>
                            <w:p w14:paraId="3B6D1640" w14:textId="77777777" w:rsidR="004078AE" w:rsidRPr="004078AE" w:rsidRDefault="004078AE" w:rsidP="004078AE">
                              <w:pPr>
                                <w:framePr w:hSpace="180" w:wrap="around" w:vAnchor="text" w:hAnchor="text"/>
                                <w:spacing w:line="252" w:lineRule="auto"/>
                                <w:rPr>
                                  <w:rFonts w:ascii="Lato" w:hAnsi="Lato" w:cs="Arial"/>
                                  <w:lang w:val="pl-PL"/>
                                </w:rPr>
                              </w:pPr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 </w:t>
                              </w:r>
                            </w:p>
                            <w:p w14:paraId="62FB6160" w14:textId="77777777" w:rsidR="004078AE" w:rsidRPr="004078AE" w:rsidRDefault="004078AE" w:rsidP="004078AE">
                              <w:pPr>
                                <w:framePr w:hSpace="180" w:wrap="around" w:vAnchor="text" w:hAnchor="text"/>
                                <w:spacing w:line="252" w:lineRule="auto"/>
                                <w:ind w:left="720"/>
                                <w:rPr>
                                  <w:rFonts w:ascii="Lato" w:hAnsi="Lato" w:cs="Arial"/>
                                  <w:b/>
                                  <w:bCs/>
                                  <w:lang w:val="pl-PL"/>
                                </w:rPr>
                              </w:pPr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 </w:t>
                              </w:r>
                              <w:r w:rsidRPr="004078AE">
                                <w:rPr>
                                  <w:rFonts w:ascii="Lato" w:hAnsi="Lato" w:cs="Arial"/>
                                  <w:b/>
                                  <w:bCs/>
                                  <w:lang w:val="pl-PL"/>
                                </w:rPr>
                                <w:t>Witajcie Koleżanki i Koledzy!</w:t>
                              </w:r>
                            </w:p>
                            <w:p w14:paraId="60D38EB1" w14:textId="77777777" w:rsidR="004078AE" w:rsidRPr="004078AE" w:rsidRDefault="004078AE" w:rsidP="004078AE">
                              <w:pPr>
                                <w:framePr w:hSpace="180" w:wrap="around" w:vAnchor="text" w:hAnchor="text"/>
                                <w:spacing w:line="252" w:lineRule="auto"/>
                                <w:ind w:left="720"/>
                                <w:rPr>
                                  <w:rFonts w:ascii="Lato" w:hAnsi="Lato" w:cs="Arial"/>
                                  <w:lang w:val="pl-PL"/>
                                </w:rPr>
                              </w:pPr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 </w:t>
                              </w:r>
                            </w:p>
                            <w:p w14:paraId="2F160EF1" w14:textId="77777777" w:rsidR="004078AE" w:rsidRPr="004078AE" w:rsidRDefault="004078AE" w:rsidP="004078AE">
                              <w:pPr>
                                <w:framePr w:hSpace="180" w:wrap="around" w:vAnchor="text" w:hAnchor="text"/>
                                <w:spacing w:line="252" w:lineRule="auto"/>
                                <w:ind w:left="720"/>
                                <w:rPr>
                                  <w:rFonts w:ascii="Lato" w:hAnsi="Lato" w:cs="Arial"/>
                                  <w:lang w:val="pl-PL"/>
                                </w:rPr>
                              </w:pPr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Jest mi niezmiernie miło powitać w naszej społeczności ponad 170 nowych </w:t>
                              </w:r>
                            </w:p>
                            <w:p w14:paraId="7C4809F1" w14:textId="77777777" w:rsidR="004078AE" w:rsidRPr="004078AE" w:rsidRDefault="004078AE" w:rsidP="004078AE">
                              <w:pPr>
                                <w:framePr w:hSpace="180" w:wrap="around" w:vAnchor="text" w:hAnchor="text"/>
                                <w:spacing w:line="252" w:lineRule="auto"/>
                                <w:ind w:left="720"/>
                                <w:rPr>
                                  <w:rFonts w:ascii="Lato" w:hAnsi="Lato" w:cs="Arial"/>
                                  <w:lang w:val="pl-PL"/>
                                </w:rPr>
                              </w:pPr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kolegów w oraz ponad 1 300 pacjentów, którzy dołączają do nas z </w:t>
                              </w:r>
                              <w:proofErr w:type="spellStart"/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>Renal</w:t>
                              </w:r>
                              <w:proofErr w:type="spellEnd"/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 Services (UK) Limited, jednego z największych dostawców dializ w Wielkiej Brytanii. </w:t>
                              </w:r>
                            </w:p>
                            <w:p w14:paraId="72B24CF2" w14:textId="77777777" w:rsidR="004078AE" w:rsidRPr="004078AE" w:rsidRDefault="004078AE" w:rsidP="004078AE">
                              <w:pPr>
                                <w:framePr w:hSpace="180" w:wrap="around" w:vAnchor="text" w:hAnchor="text"/>
                                <w:spacing w:line="252" w:lineRule="auto"/>
                                <w:ind w:left="720"/>
                                <w:rPr>
                                  <w:rFonts w:ascii="Lato" w:hAnsi="Lato" w:cs="Arial"/>
                                  <w:lang w:val="pl-PL"/>
                                </w:rPr>
                              </w:pPr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  </w:t>
                              </w:r>
                            </w:p>
                            <w:p w14:paraId="3D3EDD6B" w14:textId="77777777" w:rsidR="004078AE" w:rsidRPr="004078AE" w:rsidRDefault="004078AE" w:rsidP="004078AE">
                              <w:pPr>
                                <w:framePr w:hSpace="180" w:wrap="around" w:vAnchor="text" w:hAnchor="text"/>
                                <w:spacing w:line="252" w:lineRule="auto"/>
                                <w:ind w:left="720"/>
                                <w:rPr>
                                  <w:rFonts w:ascii="Lato" w:hAnsi="Lato" w:cs="Arial"/>
                                  <w:lang w:val="pl-PL"/>
                                </w:rPr>
                              </w:pPr>
                              <w:proofErr w:type="spellStart"/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>Renal</w:t>
                              </w:r>
                              <w:proofErr w:type="spellEnd"/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 Services, założone w 2007 roku, prowadzi 21 stacji dializ i jest jednym z </w:t>
                              </w:r>
                            </w:p>
                            <w:p w14:paraId="2FC1354D" w14:textId="77777777" w:rsidR="004078AE" w:rsidRPr="004078AE" w:rsidRDefault="004078AE" w:rsidP="004078AE">
                              <w:pPr>
                                <w:framePr w:hSpace="180" w:wrap="around" w:vAnchor="text" w:hAnchor="text"/>
                                <w:spacing w:line="252" w:lineRule="auto"/>
                                <w:ind w:left="720"/>
                                <w:rPr>
                                  <w:rFonts w:ascii="Lato" w:hAnsi="Lato" w:cs="Arial"/>
                                  <w:lang w:val="pl-PL"/>
                                </w:rPr>
                              </w:pPr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liderów innowacyjnego zarządzania leczeniem chorych na </w:t>
                              </w:r>
                              <w:proofErr w:type="spellStart"/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>PChN</w:t>
                              </w:r>
                              <w:proofErr w:type="spellEnd"/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 w Wielkiej Brytanii. </w:t>
                              </w:r>
                              <w:proofErr w:type="spellStart"/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>Renal</w:t>
                              </w:r>
                              <w:proofErr w:type="spellEnd"/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 Services tworzy wspaniały zespół, którym kieruje </w:t>
                              </w:r>
                              <w:proofErr w:type="spellStart"/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>Kathy</w:t>
                              </w:r>
                              <w:proofErr w:type="spellEnd"/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 Lloyd, nasz nowy Dyrektor Generalny DaVita UK, która będzie raportowała do Jeffa </w:t>
                              </w:r>
                              <w:proofErr w:type="spellStart"/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>Hemmingera</w:t>
                              </w:r>
                              <w:proofErr w:type="spellEnd"/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 i dołączy do zespołu Dyrektorów Generalnych DaVita (BOLT). Tymczasowo </w:t>
                              </w:r>
                              <w:proofErr w:type="spellStart"/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>Renal</w:t>
                              </w:r>
                              <w:proofErr w:type="spellEnd"/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 Services będzie działać pod dotychczasową nazwą, aż do momentu, gdy będziemy gotowi na zmianę marki na DaVita. Nie możemy się już doczekać, by wspierać </w:t>
                              </w:r>
                              <w:proofErr w:type="spellStart"/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>Kathy</w:t>
                              </w:r>
                              <w:proofErr w:type="spellEnd"/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 i jej zespół w rozwoju działalności i dalszym doskonaleniu wyników klinicznych i doświadczenia pacjenta. </w:t>
                              </w:r>
                            </w:p>
                            <w:p w14:paraId="2226A63D" w14:textId="77777777" w:rsidR="004078AE" w:rsidRPr="004078AE" w:rsidRDefault="004078AE" w:rsidP="004078AE">
                              <w:pPr>
                                <w:framePr w:hSpace="180" w:wrap="around" w:vAnchor="text" w:hAnchor="text"/>
                                <w:spacing w:line="252" w:lineRule="auto"/>
                                <w:ind w:left="720"/>
                                <w:rPr>
                                  <w:rFonts w:ascii="Lato" w:hAnsi="Lato" w:cs="Arial"/>
                                  <w:lang w:val="pl-PL"/>
                                </w:rPr>
                              </w:pPr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  </w:t>
                              </w:r>
                            </w:p>
                            <w:p w14:paraId="3FC42EC7" w14:textId="77777777" w:rsidR="004078AE" w:rsidRPr="004078AE" w:rsidRDefault="004078AE" w:rsidP="004078AE">
                              <w:pPr>
                                <w:framePr w:hSpace="180" w:wrap="around" w:vAnchor="text" w:hAnchor="text"/>
                                <w:spacing w:line="252" w:lineRule="auto"/>
                                <w:ind w:left="720"/>
                                <w:rPr>
                                  <w:rFonts w:ascii="Lato" w:hAnsi="Lato" w:cs="Arial"/>
                                  <w:lang w:val="pl-PL"/>
                                </w:rPr>
                              </w:pPr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Dzięki tej akwizycji DaVita jest 3. najszybciej rosnącym dostawcą hemodializ </w:t>
                              </w:r>
                            </w:p>
                            <w:p w14:paraId="6443601B" w14:textId="77777777" w:rsidR="004078AE" w:rsidRPr="004078AE" w:rsidRDefault="004078AE" w:rsidP="004078AE">
                              <w:pPr>
                                <w:framePr w:hSpace="180" w:wrap="around" w:vAnchor="text" w:hAnchor="text"/>
                                <w:spacing w:line="252" w:lineRule="auto"/>
                                <w:ind w:left="720"/>
                                <w:rPr>
                                  <w:rFonts w:ascii="Lato" w:hAnsi="Lato" w:cs="Arial"/>
                                  <w:lang w:val="pl-PL"/>
                                </w:rPr>
                              </w:pPr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w kraju z rocznym skumulowanym wskaźnikiem wzrostu na poziomie 10%. </w:t>
                              </w:r>
                            </w:p>
                            <w:p w14:paraId="39CA5435" w14:textId="77777777" w:rsidR="004078AE" w:rsidRDefault="004078AE" w:rsidP="004078AE">
                              <w:pPr>
                                <w:framePr w:hSpace="180" w:wrap="around" w:vAnchor="text" w:hAnchor="text"/>
                                <w:spacing w:line="252" w:lineRule="auto"/>
                                <w:ind w:left="720"/>
                                <w:rPr>
                                  <w:rFonts w:ascii="Lato" w:hAnsi="Lato" w:cs="Arial"/>
                                  <w:lang w:val="pl-PL"/>
                                </w:rPr>
                              </w:pPr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Będziemy kontynuować współpracę z Narodową Służbą Zdrowia, która jest </w:t>
                              </w:r>
                            </w:p>
                            <w:p w14:paraId="6DBB7BE0" w14:textId="4C8C3497" w:rsidR="004078AE" w:rsidRDefault="004078AE" w:rsidP="004078AE">
                              <w:pPr>
                                <w:framePr w:hSpace="180" w:wrap="around" w:vAnchor="text" w:hAnchor="text"/>
                                <w:spacing w:line="252" w:lineRule="auto"/>
                                <w:ind w:left="720"/>
                                <w:rPr>
                                  <w:rFonts w:ascii="Lato" w:hAnsi="Lato" w:cs="Arial"/>
                                  <w:lang w:val="pl-PL"/>
                                </w:rPr>
                              </w:pPr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publicznym dostawcą opieki zdrowotnej w Wielkiej Brytanii. Opieka nad pacjentami </w:t>
                              </w:r>
                            </w:p>
                            <w:p w14:paraId="0E208886" w14:textId="0A72B5F7" w:rsidR="004078AE" w:rsidRPr="004078AE" w:rsidRDefault="004078AE" w:rsidP="004078AE">
                              <w:pPr>
                                <w:framePr w:hSpace="180" w:wrap="around" w:vAnchor="text" w:hAnchor="text"/>
                                <w:spacing w:line="252" w:lineRule="auto"/>
                                <w:ind w:left="720"/>
                                <w:rPr>
                                  <w:rFonts w:ascii="Lato" w:hAnsi="Lato" w:cs="Arial"/>
                                  <w:lang w:val="pl-PL"/>
                                </w:rPr>
                              </w:pPr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hemodializowani w Wielkiej Brytanii (leki, diagnostyka, zabiegi, konsultacje, dializy, transplantacje) jest w całości dla nich bezpłatna. </w:t>
                              </w:r>
                            </w:p>
                            <w:p w14:paraId="112240CB" w14:textId="77777777" w:rsidR="004078AE" w:rsidRPr="004078AE" w:rsidRDefault="004078AE" w:rsidP="004078AE">
                              <w:pPr>
                                <w:framePr w:hSpace="180" w:wrap="around" w:vAnchor="text" w:hAnchor="text"/>
                                <w:spacing w:line="252" w:lineRule="auto"/>
                                <w:ind w:left="720"/>
                                <w:rPr>
                                  <w:rFonts w:ascii="Lato" w:hAnsi="Lato" w:cs="Arial"/>
                                  <w:lang w:val="pl-PL"/>
                                </w:rPr>
                              </w:pPr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  </w:t>
                              </w:r>
                            </w:p>
                            <w:p w14:paraId="6A1C637E" w14:textId="77777777" w:rsidR="004078AE" w:rsidRPr="004078AE" w:rsidRDefault="004078AE" w:rsidP="004078AE">
                              <w:pPr>
                                <w:framePr w:hSpace="180" w:wrap="around" w:vAnchor="text" w:hAnchor="text"/>
                                <w:spacing w:line="252" w:lineRule="auto"/>
                                <w:ind w:left="720"/>
                                <w:rPr>
                                  <w:rFonts w:ascii="Lato" w:hAnsi="Lato" w:cs="Arial"/>
                                  <w:lang w:val="pl-PL"/>
                                </w:rPr>
                              </w:pPr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>Mamy wspaniałą okazję, by podzielić się naszą wiedzą operacyjną, globalnymi programami klinicznymi, innowacyjnym podejściem z zespołem Narodowej Służby Zdrowia. Możemy również czerpać od nich wiedzę o metodach terapeutycznych, z których słyną na arenie międzynarodowej, jak np. domowe i nocne hemodializy i zorientowane na pacjenta modele opieki, takie jak hemodializa samodzielna.</w:t>
                              </w:r>
                            </w:p>
                            <w:p w14:paraId="5E21B801" w14:textId="77777777" w:rsidR="004078AE" w:rsidRPr="004078AE" w:rsidRDefault="004078AE" w:rsidP="004078AE">
                              <w:pPr>
                                <w:framePr w:hSpace="180" w:wrap="around" w:vAnchor="text" w:hAnchor="text"/>
                                <w:spacing w:line="252" w:lineRule="auto"/>
                                <w:ind w:left="720"/>
                                <w:rPr>
                                  <w:rFonts w:ascii="Lato" w:hAnsi="Lato" w:cs="Arial"/>
                                  <w:lang w:val="pl-PL"/>
                                </w:rPr>
                              </w:pPr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 </w:t>
                              </w:r>
                            </w:p>
                            <w:p w14:paraId="4E9CF965" w14:textId="77777777" w:rsidR="004078AE" w:rsidRPr="004078AE" w:rsidRDefault="004078AE" w:rsidP="004078AE">
                              <w:pPr>
                                <w:framePr w:hSpace="180" w:wrap="around" w:vAnchor="text" w:hAnchor="text"/>
                                <w:spacing w:line="252" w:lineRule="auto"/>
                                <w:ind w:left="720"/>
                                <w:rPr>
                                  <w:rFonts w:ascii="Lato" w:hAnsi="Lato" w:cs="Arial"/>
                                  <w:lang w:val="pl-PL"/>
                                </w:rPr>
                              </w:pPr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“Jesteśmy zachwyceni, że możemy dołączyć do DaVita i nie możemy się doczekać </w:t>
                              </w:r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lastRenderedPageBreak/>
                                <w:t xml:space="preserve">wspólnej pracy”, mówi </w:t>
                              </w:r>
                              <w:proofErr w:type="spellStart"/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>Kathy</w:t>
                              </w:r>
                              <w:proofErr w:type="spellEnd"/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 Lloyd. „To ekscytująca szansa dla </w:t>
                              </w:r>
                              <w:proofErr w:type="spellStart"/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>Renal</w:t>
                              </w:r>
                              <w:proofErr w:type="spellEnd"/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 Services na dalszą zmianę doświadczeń naszych pacjentów i wypełnianie naszych planów rozwojowych.”</w:t>
                              </w:r>
                            </w:p>
                            <w:p w14:paraId="77187B45" w14:textId="77777777" w:rsidR="004078AE" w:rsidRPr="004078AE" w:rsidRDefault="004078AE" w:rsidP="004078AE">
                              <w:pPr>
                                <w:framePr w:hSpace="180" w:wrap="around" w:vAnchor="text" w:hAnchor="text"/>
                                <w:spacing w:line="252" w:lineRule="auto"/>
                                <w:ind w:left="720"/>
                                <w:rPr>
                                  <w:rFonts w:ascii="Lato" w:hAnsi="Lato" w:cs="Arial"/>
                                  <w:lang w:val="pl-PL"/>
                                </w:rPr>
                              </w:pPr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 </w:t>
                              </w:r>
                            </w:p>
                            <w:p w14:paraId="013DEF45" w14:textId="77777777" w:rsidR="004078AE" w:rsidRPr="004078AE" w:rsidRDefault="004078AE" w:rsidP="004078AE">
                              <w:pPr>
                                <w:framePr w:hSpace="180" w:wrap="around" w:vAnchor="text" w:hAnchor="text"/>
                                <w:spacing w:line="252" w:lineRule="auto"/>
                                <w:ind w:left="720"/>
                                <w:rPr>
                                  <w:rFonts w:ascii="Lato" w:hAnsi="Lato" w:cs="Arial"/>
                                  <w:lang w:val="pl-PL"/>
                                </w:rPr>
                              </w:pPr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Proszę, powitajcie ze mną </w:t>
                              </w:r>
                              <w:proofErr w:type="spellStart"/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>Renal</w:t>
                              </w:r>
                              <w:proofErr w:type="spellEnd"/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 Service w naszej rosnącej społeczności. Będziemy Was informować o postępach we wspólnej podróży w nadchodzących miesiącach. </w:t>
                              </w:r>
                            </w:p>
                            <w:p w14:paraId="4010DE71" w14:textId="77777777" w:rsidR="004078AE" w:rsidRPr="004078AE" w:rsidRDefault="004078AE" w:rsidP="004078AE">
                              <w:pPr>
                                <w:framePr w:hSpace="180" w:wrap="around" w:vAnchor="text" w:hAnchor="text"/>
                                <w:spacing w:line="252" w:lineRule="auto"/>
                                <w:ind w:left="720"/>
                                <w:rPr>
                                  <w:rFonts w:ascii="Lato" w:hAnsi="Lato" w:cs="Arial"/>
                                  <w:lang w:val="pl-PL"/>
                                </w:rPr>
                              </w:pPr>
                              <w:r w:rsidRPr="004078AE">
                                <w:rPr>
                                  <w:rFonts w:ascii="Lato" w:hAnsi="Lato" w:cs="Arial"/>
                                  <w:lang w:val="pl-PL"/>
                                </w:rPr>
                                <w:t xml:space="preserve"> </w:t>
                              </w:r>
                            </w:p>
                            <w:p w14:paraId="14887E9A" w14:textId="62326D9E" w:rsidR="004328CF" w:rsidRPr="004078AE" w:rsidRDefault="004078AE" w:rsidP="004078AE">
                              <w:pPr>
                                <w:framePr w:hSpace="180" w:wrap="around" w:vAnchor="text" w:hAnchor="text"/>
                                <w:spacing w:line="252" w:lineRule="auto"/>
                                <w:ind w:left="720"/>
                                <w:rPr>
                                  <w:rFonts w:ascii="Lato" w:hAnsi="Lato" w:cs="Arial"/>
                                  <w:b/>
                                  <w:bCs/>
                                </w:rPr>
                              </w:pPr>
                              <w:proofErr w:type="spellStart"/>
                              <w:r w:rsidRPr="004078AE">
                                <w:rPr>
                                  <w:rFonts w:ascii="Lato" w:hAnsi="Lato" w:cs="Arial"/>
                                  <w:b/>
                                  <w:bCs/>
                                </w:rPr>
                                <w:t>Jeden</w:t>
                              </w:r>
                              <w:proofErr w:type="spellEnd"/>
                              <w:r w:rsidRPr="004078AE">
                                <w:rPr>
                                  <w:rFonts w:ascii="Lato" w:hAnsi="Lato" w:cs="Arial"/>
                                  <w:b/>
                                  <w:bCs/>
                                </w:rPr>
                                <w:t xml:space="preserve"> za </w:t>
                              </w:r>
                              <w:proofErr w:type="spellStart"/>
                              <w:r w:rsidRPr="004078AE">
                                <w:rPr>
                                  <w:rFonts w:ascii="Lato" w:hAnsi="Lato" w:cs="Arial"/>
                                  <w:b/>
                                  <w:bCs/>
                                </w:rPr>
                                <w:t>wszystkich</w:t>
                              </w:r>
                              <w:proofErr w:type="spellEnd"/>
                              <w:r w:rsidRPr="004078AE">
                                <w:rPr>
                                  <w:rFonts w:ascii="Lato" w:hAnsi="Lato" w:cs="Arial"/>
                                  <w:b/>
                                  <w:bCs/>
                                </w:rPr>
                                <w:t>!</w:t>
                              </w:r>
                            </w:p>
                            <w:tbl>
                              <w:tblPr>
                                <w:tblW w:w="9182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360"/>
                              </w:tblGrid>
                              <w:tr w:rsidR="004328CF" w:rsidRPr="00E31982" w14:paraId="0875B673" w14:textId="77777777" w:rsidTr="008E51D4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450" w:type="dxa"/>
                                      <w:bottom w:w="0" w:type="dxa"/>
                                      <w:right w:w="450" w:type="dxa"/>
                                    </w:tcMar>
                                  </w:tcPr>
                                  <w:tbl>
                                    <w:tblPr>
                                      <w:tblpPr w:leftFromText="165" w:rightFromText="165" w:bottomFromText="25" w:vertAnchor="text"/>
                                      <w:tblW w:w="9182" w:type="dxa"/>
                                      <w:shd w:val="clear" w:color="auto" w:fill="FFFFFF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182"/>
                                    </w:tblGrid>
                                    <w:tr w:rsidR="001558C7" w:rsidRPr="00E31982" w14:paraId="155A5587" w14:textId="77777777" w:rsidTr="001558C7">
                                      <w:tc>
                                        <w:tcPr>
                                          <w:tcW w:w="0" w:type="auto"/>
                                          <w:shd w:val="clear" w:color="auto" w:fill="F2F2F2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9182"/>
                                          </w:tblGrid>
                                          <w:tr w:rsidR="001558C7" w:rsidRPr="00E31982" w14:paraId="4758AFBD" w14:textId="77777777"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p w14:paraId="48035146" w14:textId="1E0139B9" w:rsidR="001558C7" w:rsidRPr="00E31982" w:rsidRDefault="001558C7" w:rsidP="001558C7">
                                                <w:pPr>
                                                  <w:framePr w:hSpace="180" w:wrap="around" w:vAnchor="text" w:hAnchor="text"/>
                                                  <w:spacing w:line="252" w:lineRule="auto"/>
                                                  <w:rPr>
                                                    <w:rFonts w:ascii="Lato" w:hAnsi="Lato"/>
                                                  </w:rPr>
                                                </w:pPr>
                                              </w:p>
                                              <w:p w14:paraId="72CD418D" w14:textId="77777777" w:rsidR="001558C7" w:rsidRPr="00E31982" w:rsidRDefault="001558C7" w:rsidP="001558C7">
                                                <w:pPr>
                                                  <w:framePr w:hSpace="180" w:wrap="around" w:vAnchor="text" w:hAnchor="text"/>
                                                  <w:rPr>
                                                    <w:rFonts w:ascii="Lato" w:eastAsia="Times New Roman" w:hAnsi="Lato"/>
                                                    <w:sz w:val="20"/>
                                                    <w:szCs w:val="20"/>
                                                    <w:lang w:eastAsia="pl-PL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558C7" w:rsidRPr="00E31982" w14:paraId="40AD0C91" w14:textId="77777777"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p w14:paraId="075E1DE2" w14:textId="77777777" w:rsidR="001558C7" w:rsidRPr="00E31982" w:rsidRDefault="001558C7" w:rsidP="001558C7">
                                                <w:pPr>
                                                  <w:framePr w:hSpace="180" w:wrap="around" w:vAnchor="text" w:hAnchor="text"/>
                                                  <w:jc w:val="center"/>
                                                  <w:rPr>
                                                    <w:rFonts w:ascii="Lato" w:eastAsia="Times New Roman" w:hAnsi="Lato"/>
                                                    <w:sz w:val="20"/>
                                                    <w:szCs w:val="20"/>
                                                    <w:lang w:eastAsia="pl-PL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14:paraId="49C7E99F" w14:textId="77777777" w:rsidR="001558C7" w:rsidRPr="00E31982" w:rsidRDefault="001558C7" w:rsidP="001558C7">
                                          <w:pPr>
                                            <w:rPr>
                                              <w:rFonts w:ascii="Lato" w:eastAsia="Times New Roman" w:hAnsi="Lato"/>
                                              <w:sz w:val="20"/>
                                              <w:szCs w:val="20"/>
                                              <w:lang w:eastAsia="pl-PL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14:paraId="35188366" w14:textId="77777777" w:rsidR="004328CF" w:rsidRPr="00E31982" w:rsidRDefault="004328CF" w:rsidP="001558C7">
                                    <w:pPr>
                                      <w:framePr w:hSpace="180" w:wrap="around" w:vAnchor="text" w:hAnchor="text"/>
                                      <w:spacing w:line="252" w:lineRule="auto"/>
                                      <w:rPr>
                                        <w:rFonts w:ascii="Lato" w:hAnsi="Lato" w:cs="Arial"/>
                                      </w:rPr>
                                    </w:pPr>
                                  </w:p>
                                </w:tc>
                              </w:tr>
                              <w:tr w:rsidR="004328CF" w:rsidRPr="00E31982" w14:paraId="3EB58BB4" w14:textId="77777777" w:rsidTr="008E51D4">
                                <w:trPr>
                                  <w:trHeight w:val="225"/>
                                </w:trPr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p w14:paraId="26E51DD0" w14:textId="42077088" w:rsidR="004328CF" w:rsidRPr="00E31982" w:rsidRDefault="004328CF" w:rsidP="004328CF">
                                    <w:pPr>
                                      <w:framePr w:hSpace="180" w:wrap="around" w:vAnchor="text" w:hAnchor="text"/>
                                      <w:spacing w:line="252" w:lineRule="auto"/>
                                      <w:rPr>
                                        <w:rFonts w:ascii="Lato" w:hAnsi="Lato" w:cs="Arial"/>
                                      </w:rPr>
                                    </w:pPr>
                                    <w:r w:rsidRPr="00E31982">
                                      <w:rPr>
                                        <w:rFonts w:ascii="Lato" w:hAnsi="Lato" w:cs="Arial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</w:tbl>
                            <w:p w14:paraId="55BD5BBF" w14:textId="77777777" w:rsidR="004328CF" w:rsidRPr="00E31982" w:rsidRDefault="004328CF" w:rsidP="004328CF">
                              <w:pPr>
                                <w:framePr w:hSpace="180" w:wrap="around" w:vAnchor="text" w:hAnchor="text"/>
                                <w:spacing w:line="252" w:lineRule="auto"/>
                                <w:rPr>
                                  <w:rFonts w:ascii="Lato" w:hAnsi="Lato" w:cs="Arial"/>
                                </w:rPr>
                              </w:pPr>
                            </w:p>
                          </w:tc>
                        </w:tr>
                        <w:tr w:rsidR="004328CF" w:rsidRPr="00E31982" w14:paraId="0FD99ABF" w14:textId="77777777" w:rsidTr="008E51D4">
                          <w:tc>
                            <w:tcPr>
                              <w:tcW w:w="0" w:type="auto"/>
                              <w:hideMark/>
                            </w:tcPr>
                            <w:p w14:paraId="02A505BB" w14:textId="77777777" w:rsidR="004328CF" w:rsidRPr="00E31982" w:rsidRDefault="004328CF" w:rsidP="004328CF">
                              <w:pPr>
                                <w:framePr w:hSpace="180" w:wrap="around" w:vAnchor="text" w:hAnchor="text"/>
                                <w:jc w:val="center"/>
                                <w:rPr>
                                  <w:rFonts w:ascii="Lato" w:eastAsia="Times New Roman" w:hAnsi="Lato" w:cs="Arial"/>
                                </w:rPr>
                              </w:pPr>
                            </w:p>
                          </w:tc>
                        </w:tr>
                      </w:tbl>
                      <w:p w14:paraId="2E45A760" w14:textId="2585AE9D" w:rsidR="004328CF" w:rsidRPr="00E31982" w:rsidRDefault="004328CF" w:rsidP="004328CF">
                        <w:pPr>
                          <w:framePr w:hSpace="180" w:wrap="around" w:vAnchor="text" w:hAnchor="text"/>
                          <w:jc w:val="center"/>
                          <w:rPr>
                            <w:rFonts w:ascii="Lato" w:hAnsi="Lato" w:cs="Arial"/>
                          </w:rPr>
                        </w:pPr>
                      </w:p>
                    </w:tc>
                  </w:tr>
                  <w:tr w:rsidR="004328CF" w:rsidRPr="00E31982" w14:paraId="2905E645" w14:textId="77777777" w:rsidTr="004328CF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360"/>
                        </w:tblGrid>
                        <w:tr w:rsidR="004328CF" w:rsidRPr="00E31982" w14:paraId="5BB748A8" w14:textId="77777777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14:paraId="560D6A63" w14:textId="77777777" w:rsidR="004328CF" w:rsidRPr="00E31982" w:rsidRDefault="004328CF" w:rsidP="004328CF">
                              <w:pPr>
                                <w:framePr w:hSpace="180" w:wrap="around" w:vAnchor="text" w:hAnchor="text"/>
                                <w:rPr>
                                  <w:rFonts w:ascii="Lato" w:hAnsi="Lato" w:cs="Arial"/>
                                </w:rPr>
                              </w:pPr>
                            </w:p>
                          </w:tc>
                        </w:tr>
                      </w:tbl>
                      <w:p w14:paraId="216B3611" w14:textId="77777777" w:rsidR="004328CF" w:rsidRPr="00E31982" w:rsidRDefault="004328CF" w:rsidP="004328CF">
                        <w:pPr>
                          <w:framePr w:hSpace="180" w:wrap="around" w:vAnchor="text" w:hAnchor="text"/>
                          <w:jc w:val="center"/>
                          <w:rPr>
                            <w:rFonts w:ascii="Lato" w:eastAsia="Times New Roman" w:hAnsi="Lato"/>
                          </w:rPr>
                        </w:pPr>
                      </w:p>
                    </w:tc>
                  </w:tr>
                </w:tbl>
                <w:p w14:paraId="625FB277" w14:textId="77777777" w:rsidR="00EE5F0E" w:rsidRPr="00E31982" w:rsidRDefault="00EE5F0E">
                  <w:pPr>
                    <w:framePr w:hSpace="180" w:wrap="around" w:vAnchor="text" w:hAnchor="text"/>
                    <w:rPr>
                      <w:rFonts w:ascii="Lato" w:eastAsia="Times New Roman" w:hAnsi="Lato"/>
                    </w:rPr>
                  </w:pPr>
                </w:p>
              </w:tc>
            </w:tr>
            <w:tr w:rsidR="00EE5F0E" w:rsidRPr="004078AE" w14:paraId="678A4D46" w14:textId="77777777"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jc w:val="center"/>
                    <w:shd w:val="clear" w:color="auto" w:fill="C6C8C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60"/>
                  </w:tblGrid>
                  <w:tr w:rsidR="00EE5F0E" w:rsidRPr="00E31982" w14:paraId="24ED3479" w14:textId="7777777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C6C8CA"/>
                        <w:tcMar>
                          <w:top w:w="0" w:type="dxa"/>
                          <w:left w:w="450" w:type="dxa"/>
                          <w:bottom w:w="0" w:type="dxa"/>
                          <w:right w:w="0" w:type="dxa"/>
                        </w:tcMar>
                        <w:hideMark/>
                      </w:tcPr>
                      <w:p w14:paraId="38620F2E" w14:textId="77777777" w:rsidR="00EE5F0E" w:rsidRPr="00E31982" w:rsidRDefault="00EE5F0E" w:rsidP="00007178">
                        <w:pPr>
                          <w:framePr w:hSpace="180" w:wrap="around" w:vAnchor="text" w:hAnchor="text"/>
                          <w:rPr>
                            <w:rFonts w:ascii="Lato" w:eastAsia="Times New Roman" w:hAnsi="Lato"/>
                          </w:rPr>
                        </w:pPr>
                      </w:p>
                    </w:tc>
                  </w:tr>
                  <w:tr w:rsidR="00EE5F0E" w:rsidRPr="004078AE" w14:paraId="7792AF50" w14:textId="77777777" w:rsidTr="00E408E4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414141"/>
                        <w:tcMar>
                          <w:top w:w="300" w:type="dxa"/>
                          <w:left w:w="180" w:type="dxa"/>
                          <w:bottom w:w="300" w:type="dxa"/>
                          <w:right w:w="300" w:type="dxa"/>
                        </w:tcMar>
                        <w:hideMark/>
                      </w:tcPr>
                      <w:p w14:paraId="63D34F22" w14:textId="77777777" w:rsidR="00E408E4" w:rsidRPr="00E31982" w:rsidRDefault="00E408E4" w:rsidP="00007178">
                        <w:pPr>
                          <w:framePr w:hSpace="180" w:wrap="around" w:vAnchor="text" w:hAnchor="text"/>
                          <w:spacing w:line="276" w:lineRule="auto"/>
                          <w:jc w:val="center"/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lang w:val="pl-PL" w:eastAsia="pl-PL"/>
                          </w:rPr>
                        </w:pPr>
                        <w:r w:rsidRPr="00E31982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lang w:val="pl-PL" w:eastAsia="pl-PL"/>
                          </w:rPr>
                          <w:t xml:space="preserve">Doskonałość usług </w:t>
                        </w:r>
                        <w:r w:rsidRPr="00E31982">
                          <w:rPr>
                            <w:rFonts w:ascii="Lato" w:hAnsi="Lato"/>
                            <w:bCs/>
                            <w:color w:val="D9D9D9" w:themeColor="background1" w:themeShade="D9"/>
                            <w:lang w:val="pl-PL" w:eastAsia="pl-PL"/>
                          </w:rPr>
                          <w:t>•</w:t>
                        </w:r>
                        <w:r w:rsidRPr="00E31982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lang w:val="pl-PL" w:eastAsia="pl-PL"/>
                          </w:rPr>
                          <w:t xml:space="preserve"> Spójność słów i czynów </w:t>
                        </w:r>
                        <w:r w:rsidRPr="00E31982">
                          <w:rPr>
                            <w:rFonts w:ascii="Lato" w:hAnsi="Lato"/>
                            <w:bCs/>
                            <w:color w:val="D9D9D9" w:themeColor="background1" w:themeShade="D9"/>
                            <w:lang w:val="pl-PL" w:eastAsia="pl-PL"/>
                          </w:rPr>
                          <w:t>•</w:t>
                        </w:r>
                        <w:r w:rsidRPr="00E31982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lang w:val="pl-PL" w:eastAsia="pl-PL"/>
                          </w:rPr>
                          <w:t xml:space="preserve"> Zespołowość</w:t>
                        </w:r>
                      </w:p>
                      <w:p w14:paraId="3B02DADA" w14:textId="3C8FCA5B" w:rsidR="00EE5F0E" w:rsidRPr="00E31982" w:rsidRDefault="00E408E4" w:rsidP="00007178">
                        <w:pPr>
                          <w:framePr w:hSpace="180" w:wrap="around" w:vAnchor="text" w:hAnchor="text"/>
                          <w:jc w:val="center"/>
                          <w:rPr>
                            <w:rFonts w:ascii="Lato" w:hAnsi="Lato" w:cs="Arial"/>
                            <w:color w:val="666666"/>
                            <w:lang w:val="pl-PL"/>
                          </w:rPr>
                        </w:pPr>
                        <w:r w:rsidRPr="00E31982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lang w:val="pl-PL" w:eastAsia="pl-PL"/>
                          </w:rPr>
                          <w:t xml:space="preserve">Nieustanny rozwój </w:t>
                        </w:r>
                        <w:r w:rsidRPr="00E31982">
                          <w:rPr>
                            <w:rFonts w:ascii="Lato" w:hAnsi="Lato"/>
                            <w:bCs/>
                            <w:color w:val="D9D9D9" w:themeColor="background1" w:themeShade="D9"/>
                            <w:lang w:val="pl-PL" w:eastAsia="pl-PL"/>
                          </w:rPr>
                          <w:t>•</w:t>
                        </w:r>
                        <w:r w:rsidRPr="00E31982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lang w:val="pl-PL" w:eastAsia="pl-PL"/>
                          </w:rPr>
                          <w:t xml:space="preserve"> Odpowiedzialność </w:t>
                        </w:r>
                        <w:r w:rsidRPr="00E31982">
                          <w:rPr>
                            <w:rFonts w:ascii="Lato" w:hAnsi="Lato"/>
                            <w:bCs/>
                            <w:color w:val="D9D9D9" w:themeColor="background1" w:themeShade="D9"/>
                            <w:lang w:val="pl-PL" w:eastAsia="pl-PL"/>
                          </w:rPr>
                          <w:t>•</w:t>
                        </w:r>
                        <w:r w:rsidRPr="00E31982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lang w:val="pl-PL" w:eastAsia="pl-PL"/>
                          </w:rPr>
                          <w:t xml:space="preserve"> Satysfakcja </w:t>
                        </w:r>
                        <w:r w:rsidRPr="00E31982">
                          <w:rPr>
                            <w:rFonts w:ascii="Lato" w:hAnsi="Lato"/>
                            <w:bCs/>
                            <w:color w:val="D9D9D9" w:themeColor="background1" w:themeShade="D9"/>
                            <w:lang w:val="pl-PL" w:eastAsia="pl-PL"/>
                          </w:rPr>
                          <w:t>•</w:t>
                        </w:r>
                        <w:r w:rsidRPr="00E31982">
                          <w:rPr>
                            <w:rFonts w:ascii="Lato" w:hAnsi="Lato"/>
                            <w:b/>
                            <w:bCs/>
                            <w:color w:val="D9D9D9" w:themeColor="background1" w:themeShade="D9"/>
                            <w:lang w:val="pl-PL" w:eastAsia="pl-PL"/>
                          </w:rPr>
                          <w:t xml:space="preserve"> Radość</w:t>
                        </w:r>
                      </w:p>
                    </w:tc>
                  </w:tr>
                </w:tbl>
                <w:p w14:paraId="515C9343" w14:textId="77777777" w:rsidR="00EE5F0E" w:rsidRPr="00E31982" w:rsidRDefault="00EE5F0E" w:rsidP="00007178">
                  <w:pPr>
                    <w:framePr w:hSpace="180" w:wrap="around" w:vAnchor="text" w:hAnchor="text"/>
                    <w:jc w:val="center"/>
                    <w:rPr>
                      <w:rFonts w:ascii="Lato" w:eastAsia="Times New Roman" w:hAnsi="Lato"/>
                      <w:lang w:val="pl-PL"/>
                    </w:rPr>
                  </w:pPr>
                </w:p>
              </w:tc>
            </w:tr>
          </w:tbl>
          <w:p w14:paraId="3FC371C3" w14:textId="77777777" w:rsidR="00EE5F0E" w:rsidRPr="00E31982" w:rsidRDefault="00EE5F0E">
            <w:pPr>
              <w:rPr>
                <w:rFonts w:ascii="Lato" w:eastAsia="Times New Roman" w:hAnsi="Lato"/>
                <w:lang w:val="pl-PL"/>
              </w:rPr>
            </w:pPr>
          </w:p>
        </w:tc>
      </w:tr>
    </w:tbl>
    <w:p w14:paraId="61DF692D" w14:textId="77777777" w:rsidR="00EE5F0E" w:rsidRPr="00E31982" w:rsidRDefault="00EE5F0E" w:rsidP="001558C7">
      <w:pPr>
        <w:rPr>
          <w:rFonts w:ascii="Lato" w:hAnsi="Lato" w:cs="Arial"/>
          <w:lang w:val="pl-PL"/>
        </w:rPr>
      </w:pPr>
    </w:p>
    <w:p w14:paraId="52D2BF95" w14:textId="77777777" w:rsidR="00EE5F0E" w:rsidRPr="00E31982" w:rsidRDefault="00EE5F0E" w:rsidP="00EE5F0E">
      <w:pPr>
        <w:rPr>
          <w:rFonts w:ascii="Lato" w:hAnsi="Lato" w:cs="Arial"/>
          <w:lang w:val="pl-PL"/>
        </w:rPr>
      </w:pPr>
    </w:p>
    <w:bookmarkEnd w:id="0"/>
    <w:p w14:paraId="449BE6E1" w14:textId="0556ACBE" w:rsidR="006356DC" w:rsidRPr="00E31982" w:rsidRDefault="006356DC" w:rsidP="00EE5F0E">
      <w:pPr>
        <w:rPr>
          <w:rFonts w:ascii="Lato" w:hAnsi="Lato"/>
          <w:lang w:val="pl-PL"/>
        </w:rPr>
      </w:pPr>
    </w:p>
    <w:sectPr w:rsidR="006356DC" w:rsidRPr="00E319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Segoe UI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453622"/>
    <w:multiLevelType w:val="hybridMultilevel"/>
    <w:tmpl w:val="61C42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01039"/>
    <w:multiLevelType w:val="hybridMultilevel"/>
    <w:tmpl w:val="1220AC4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0569B"/>
    <w:multiLevelType w:val="hybridMultilevel"/>
    <w:tmpl w:val="9CC0E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DEE"/>
    <w:rsid w:val="00007178"/>
    <w:rsid w:val="00033DEE"/>
    <w:rsid w:val="00034578"/>
    <w:rsid w:val="00035C03"/>
    <w:rsid w:val="00103988"/>
    <w:rsid w:val="001558C7"/>
    <w:rsid w:val="0027111A"/>
    <w:rsid w:val="00315A18"/>
    <w:rsid w:val="003B7DC1"/>
    <w:rsid w:val="003E4EDC"/>
    <w:rsid w:val="00404202"/>
    <w:rsid w:val="004078AE"/>
    <w:rsid w:val="004328CF"/>
    <w:rsid w:val="00435B6B"/>
    <w:rsid w:val="0044225A"/>
    <w:rsid w:val="00450444"/>
    <w:rsid w:val="00457016"/>
    <w:rsid w:val="004A64FA"/>
    <w:rsid w:val="00551866"/>
    <w:rsid w:val="005F2C11"/>
    <w:rsid w:val="00606DED"/>
    <w:rsid w:val="006356DC"/>
    <w:rsid w:val="006510DF"/>
    <w:rsid w:val="006E0B19"/>
    <w:rsid w:val="00706DC7"/>
    <w:rsid w:val="00712BAE"/>
    <w:rsid w:val="0071530B"/>
    <w:rsid w:val="007A2211"/>
    <w:rsid w:val="007A2540"/>
    <w:rsid w:val="00846885"/>
    <w:rsid w:val="0088708B"/>
    <w:rsid w:val="0096172B"/>
    <w:rsid w:val="009B416B"/>
    <w:rsid w:val="00A015C5"/>
    <w:rsid w:val="00A62D5C"/>
    <w:rsid w:val="00AD7697"/>
    <w:rsid w:val="00AE5E5E"/>
    <w:rsid w:val="00B859C1"/>
    <w:rsid w:val="00BA7362"/>
    <w:rsid w:val="00BA7B2A"/>
    <w:rsid w:val="00BE0F2A"/>
    <w:rsid w:val="00C02BD9"/>
    <w:rsid w:val="00C472D4"/>
    <w:rsid w:val="00C53403"/>
    <w:rsid w:val="00C84E9A"/>
    <w:rsid w:val="00CA20AF"/>
    <w:rsid w:val="00CA6512"/>
    <w:rsid w:val="00CD057D"/>
    <w:rsid w:val="00CD0743"/>
    <w:rsid w:val="00D444A3"/>
    <w:rsid w:val="00D452B7"/>
    <w:rsid w:val="00D45B2B"/>
    <w:rsid w:val="00D556E8"/>
    <w:rsid w:val="00D65529"/>
    <w:rsid w:val="00DF5342"/>
    <w:rsid w:val="00E31982"/>
    <w:rsid w:val="00E408E4"/>
    <w:rsid w:val="00E5383F"/>
    <w:rsid w:val="00EE5F0E"/>
    <w:rsid w:val="00F03460"/>
    <w:rsid w:val="00F21021"/>
    <w:rsid w:val="00FC186E"/>
    <w:rsid w:val="00FD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3CECB"/>
  <w15:docId w15:val="{3E1C2A17-BD20-491B-B3FF-58CCCAB5F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F0E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33DEE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5E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E5E"/>
    <w:pPr>
      <w:spacing w:after="160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5E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E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5E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E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E5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EE5F0E"/>
    <w:rPr>
      <w:b/>
      <w:bCs/>
    </w:rPr>
  </w:style>
  <w:style w:type="paragraph" w:styleId="Akapitzlist">
    <w:name w:val="List Paragraph"/>
    <w:basedOn w:val="Normalny"/>
    <w:uiPriority w:val="34"/>
    <w:qFormat/>
    <w:rsid w:val="009B416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5340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071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349</Words>
  <Characters>2100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DaVita HealthCare Partners, Inc.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Riordan</dc:creator>
  <cp:keywords/>
  <dc:description/>
  <cp:lastModifiedBy>Joanna Gajewska</cp:lastModifiedBy>
  <cp:revision>9</cp:revision>
  <dcterms:created xsi:type="dcterms:W3CDTF">2020-05-10T21:37:00Z</dcterms:created>
  <dcterms:modified xsi:type="dcterms:W3CDTF">2021-01-15T13:13:00Z</dcterms:modified>
</cp:coreProperties>
</file>